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1726579B" w:rsidR="00B42354" w:rsidRPr="00B106A9" w:rsidRDefault="007A3C51" w:rsidP="00573F6B">
      <w:pPr>
        <w:pStyle w:val="Heading1"/>
      </w:pPr>
      <w:r>
        <w:t>Report number</w:t>
      </w:r>
      <w:r w:rsidR="00A44499">
        <w:t xml:space="preserve"> HTA </w:t>
      </w:r>
      <w:r w:rsidR="00A44499" w:rsidRPr="00B106A9">
        <w:t>996 15/134/02</w:t>
      </w:r>
    </w:p>
    <w:p w14:paraId="496FBD02" w14:textId="704DBA50" w:rsidR="003B0FC2" w:rsidRDefault="003B0FC2" w:rsidP="00F66109">
      <w:r>
        <w:t xml:space="preserve">Following section included in Acknowledgements: </w:t>
      </w:r>
    </w:p>
    <w:p w14:paraId="26CD5B92" w14:textId="291AACE5" w:rsidR="003B0FC2" w:rsidRPr="00CB7116" w:rsidRDefault="003B0FC2" w:rsidP="003B0FC2">
      <w:pPr>
        <w:rPr>
          <w:i/>
          <w:iCs/>
        </w:rPr>
      </w:pPr>
      <w:r w:rsidRPr="00CB7116">
        <w:rPr>
          <w:i/>
          <w:iCs/>
        </w:rPr>
        <w:t>Ethics approval and research governance</w:t>
      </w:r>
    </w:p>
    <w:p w14:paraId="79634B73" w14:textId="7F678383" w:rsidR="003B0FC2" w:rsidRDefault="003B0FC2" w:rsidP="003B0FC2">
      <w:r w:rsidRPr="00CB7116">
        <w:rPr>
          <w:i/>
          <w:iCs/>
        </w:rPr>
        <w:t>The protocol was approved by the Health Research Authority (reference number). The trial was funded by the National Institute for Health Research Health Technology Assessment programme (15/134/02) and included on the (name registry) registry (insert link). Centre-specific approval was obtained at all recruiting centres.</w:t>
      </w:r>
    </w:p>
    <w:p w14:paraId="51B457B8" w14:textId="0B5A74D5" w:rsidR="003B0FC2" w:rsidRPr="00F66109" w:rsidRDefault="003B0FC2" w:rsidP="003B0FC2">
      <w:r>
        <w:t xml:space="preserve">Query added </w:t>
      </w:r>
      <w:r w:rsidR="00CB7116">
        <w:t>for author to provide missing details, but should this sectio</w:t>
      </w:r>
      <w:r w:rsidR="00EF374D">
        <w:t>n</w:t>
      </w:r>
      <w:r w:rsidR="00CB7116">
        <w:t xml:space="preserve"> be deleted?</w:t>
      </w:r>
    </w:p>
    <w:p w14:paraId="4B5DBA19" w14:textId="19568FE9" w:rsidR="00927E4F" w:rsidRDefault="00927E4F" w:rsidP="00573F6B">
      <w:pPr>
        <w:pStyle w:val="Heading2"/>
      </w:pPr>
      <w:r>
        <w:t>Special instructions</w:t>
      </w:r>
    </w:p>
    <w:p w14:paraId="68ED80FC" w14:textId="1DF689AE" w:rsidR="003B4076" w:rsidRDefault="00F93F8D" w:rsidP="003B4076">
      <w:r>
        <w:t xml:space="preserve">Chapter 5, </w:t>
      </w:r>
      <w:r w:rsidR="00106449">
        <w:t xml:space="preserve">Service data analysis, </w:t>
      </w:r>
      <w:r w:rsidR="006A20A5" w:rsidRPr="006A20A5">
        <w:t>Summary of results and study limitations</w:t>
      </w:r>
      <w:r w:rsidR="006A20A5">
        <w:t>,</w:t>
      </w:r>
      <w:r w:rsidR="006A20A5" w:rsidRPr="006A20A5">
        <w:t xml:space="preserve"> </w:t>
      </w:r>
      <w:r w:rsidR="003B4076">
        <w:t>‘</w:t>
      </w:r>
      <w:r w:rsidR="003B4076" w:rsidRPr="003B4076">
        <w:t>Policy measures to enhance engagement among these groups are therefore warranted</w:t>
      </w:r>
      <w:r w:rsidR="003B4076">
        <w:t>.’</w:t>
      </w:r>
      <w:r w:rsidR="006A20A5">
        <w:t xml:space="preserve">. </w:t>
      </w:r>
      <w:r w:rsidR="0065032E">
        <w:t>Flagged as potential policy recommendation</w:t>
      </w:r>
      <w:r w:rsidR="00D9480E">
        <w:t xml:space="preserve"> with author (response: ‘OK’)</w:t>
      </w:r>
      <w:r w:rsidR="0065032E">
        <w:t xml:space="preserve">. Should be </w:t>
      </w:r>
      <w:r w:rsidR="00B106A9" w:rsidRPr="00B106A9">
        <w:rPr>
          <w:color w:val="FF0000"/>
        </w:rPr>
        <w:t>flagged with editor</w:t>
      </w:r>
      <w:r w:rsidR="00B106A9">
        <w:t>.</w:t>
      </w:r>
    </w:p>
    <w:p w14:paraId="3989AEE6" w14:textId="77777777" w:rsidR="00F510CB" w:rsidRDefault="00F510CB" w:rsidP="00F510CB">
      <w:pPr>
        <w:pStyle w:val="Heading2"/>
      </w:pPr>
      <w:r>
        <w:t>Word counts and number of queries</w:t>
      </w:r>
    </w:p>
    <w:p w14:paraId="72078658" w14:textId="0F98B207" w:rsidR="00F510CB" w:rsidRDefault="00F510CB" w:rsidP="00F510CB">
      <w:r>
        <w:t>Whole report:</w:t>
      </w:r>
      <w:r w:rsidR="00D907F1">
        <w:t xml:space="preserve"> 63,603</w:t>
      </w:r>
    </w:p>
    <w:p w14:paraId="25B9C12D" w14:textId="416F256C" w:rsidR="00F510CB" w:rsidRDefault="00F510CB" w:rsidP="00F510CB">
      <w:r>
        <w:t>Main text:</w:t>
      </w:r>
      <w:r w:rsidR="00D907F1">
        <w:t xml:space="preserve"> </w:t>
      </w:r>
      <w:r w:rsidR="00C84B7A">
        <w:t>49,754</w:t>
      </w:r>
    </w:p>
    <w:p w14:paraId="6234A1B4" w14:textId="7A53667C" w:rsidR="00F510CB" w:rsidRDefault="00F510CB" w:rsidP="00F510CB">
      <w:r>
        <w:t>Appendices:</w:t>
      </w:r>
      <w:r w:rsidR="00C84B7A">
        <w:t xml:space="preserve"> </w:t>
      </w:r>
      <w:r w:rsidR="008B5F92">
        <w:t>3115</w:t>
      </w:r>
    </w:p>
    <w:p w14:paraId="182C65BD" w14:textId="52FC1AB7" w:rsidR="00F510CB" w:rsidRPr="00894B86" w:rsidRDefault="00453626" w:rsidP="00F510CB">
      <w:r>
        <w:t>Total number of comments</w:t>
      </w:r>
      <w:r w:rsidR="00F510CB">
        <w:t>:</w:t>
      </w:r>
      <w:r w:rsidR="00075A12">
        <w:t xml:space="preserve"> 38</w:t>
      </w:r>
      <w:r w:rsidR="002435B5">
        <w:t>5</w:t>
      </w:r>
      <w:r>
        <w:t xml:space="preserve"> (1</w:t>
      </w:r>
      <w:r w:rsidR="002435B5">
        <w:t>9</w:t>
      </w:r>
      <w:r w:rsidR="00075A12">
        <w:t xml:space="preserve"> queries</w:t>
      </w:r>
      <w:r>
        <w:t xml:space="preserve"> for 1P).</w:t>
      </w:r>
    </w:p>
    <w:p w14:paraId="69E40724" w14:textId="081E5B26" w:rsidR="0045659B" w:rsidRDefault="0045659B" w:rsidP="00573F6B">
      <w:pPr>
        <w:pStyle w:val="Heading2"/>
      </w:pPr>
      <w:r>
        <w:t>Title</w:t>
      </w:r>
      <w:r w:rsidR="00797C7A">
        <w:t>, headline and keywords</w:t>
      </w:r>
    </w:p>
    <w:p w14:paraId="0F9B855E" w14:textId="5A755E4A" w:rsidR="00F67499" w:rsidRDefault="00F67499" w:rsidP="00F67499">
      <w:r>
        <w:t>Title:</w:t>
      </w:r>
      <w:r w:rsidR="003D3939">
        <w:t xml:space="preserve"> hyphen added to ‘cascade-testing protocols’;</w:t>
      </w:r>
      <w:r w:rsidR="00A44499">
        <w:t xml:space="preserve"> </w:t>
      </w:r>
      <w:r w:rsidR="00831BE3">
        <w:t>comma removed before ‘and’ in ‘</w:t>
      </w:r>
      <w:r w:rsidR="00831BE3" w:rsidRPr="00F0050B">
        <w:rPr>
          <w:rFonts w:eastAsiaTheme="minorHAnsi"/>
        </w:rPr>
        <w:t>systematic reviews, qualitative study and cost-effectiveness analysis</w:t>
      </w:r>
      <w:r w:rsidR="00831BE3">
        <w:rPr>
          <w:rFonts w:eastAsiaTheme="minorHAnsi"/>
        </w:rPr>
        <w:t>’</w:t>
      </w:r>
      <w:r w:rsidR="0094551D">
        <w:rPr>
          <w:rFonts w:eastAsiaTheme="minorHAnsi"/>
        </w:rPr>
        <w:t>.</w:t>
      </w:r>
    </w:p>
    <w:p w14:paraId="40B04F9C" w14:textId="1AB3AD17" w:rsidR="00F67499" w:rsidRDefault="00F67499" w:rsidP="00F67499">
      <w:r>
        <w:t>Headline:</w:t>
      </w:r>
      <w:r w:rsidR="00A44499">
        <w:t xml:space="preserve"> no</w:t>
      </w:r>
      <w:r w:rsidR="0014673F">
        <w:t xml:space="preserve"> headline.</w:t>
      </w:r>
    </w:p>
    <w:p w14:paraId="6C54D31E" w14:textId="7A041229" w:rsidR="00F67499" w:rsidRDefault="00F67499" w:rsidP="00F67499">
      <w:r>
        <w:t>Keywords:</w:t>
      </w:r>
      <w:r w:rsidR="00A44499">
        <w:t xml:space="preserve"> no changes</w:t>
      </w:r>
      <w:r w:rsidR="0014673F">
        <w:t>.</w:t>
      </w:r>
    </w:p>
    <w:p w14:paraId="1D59D241" w14:textId="0D672B4F" w:rsidR="00573F6B" w:rsidRDefault="00573F6B" w:rsidP="00F67499">
      <w:pPr>
        <w:pStyle w:val="Heading2"/>
      </w:pPr>
      <w:r>
        <w:t>General</w:t>
      </w:r>
    </w:p>
    <w:p w14:paraId="032F54C9" w14:textId="58ADD101" w:rsidR="00CE5D9C" w:rsidRDefault="00CE5D9C" w:rsidP="00CE5D9C">
      <w:r w:rsidRPr="00CE5D9C">
        <w:rPr>
          <w:i/>
          <w:iCs/>
        </w:rPr>
        <w:t>APOB</w:t>
      </w:r>
      <w:r>
        <w:t xml:space="preserve">, </w:t>
      </w:r>
      <w:r w:rsidRPr="00CE5D9C">
        <w:rPr>
          <w:i/>
          <w:iCs/>
        </w:rPr>
        <w:t>LDLR</w:t>
      </w:r>
      <w:r>
        <w:t xml:space="preserve">, </w:t>
      </w:r>
      <w:r w:rsidRPr="00CE5D9C">
        <w:rPr>
          <w:i/>
          <w:iCs/>
        </w:rPr>
        <w:t>PCSK9</w:t>
      </w:r>
      <w:r>
        <w:t xml:space="preserve"> genes</w:t>
      </w:r>
    </w:p>
    <w:p w14:paraId="6ED6C091" w14:textId="028691E2" w:rsidR="005B5D08" w:rsidRDefault="00CE5D9C" w:rsidP="00CE5D9C">
      <w:r>
        <w:t>PCSK9 inhibitor</w:t>
      </w:r>
    </w:p>
    <w:p w14:paraId="3BF35485" w14:textId="77777777" w:rsidR="00510C20" w:rsidRDefault="00510C20" w:rsidP="00CE5D9C"/>
    <w:p w14:paraId="386E78AD" w14:textId="0AB78074" w:rsidR="00510C20" w:rsidRDefault="00E23FE4" w:rsidP="00E17AEB">
      <w:r>
        <w:t xml:space="preserve">Scientific summary, </w:t>
      </w:r>
      <w:r w:rsidR="0052371E">
        <w:t xml:space="preserve">Methods and results, </w:t>
      </w:r>
      <w:r w:rsidR="00E17AEB">
        <w:t xml:space="preserve">Cost-effectiveness of cascade testing, Cost and health benefits of diagnosis of people with familial hypercholesterolaemia in the long term: </w:t>
      </w:r>
      <w:r>
        <w:t>‘</w:t>
      </w:r>
      <w:r w:rsidRPr="00E23FE4">
        <w:t>The cohort Markov model takes the UK NHS perspective over a lifetime time horizon and discounts future health outcomes and costs to their present value at 3.5%.</w:t>
      </w:r>
      <w:r>
        <w:t>’ Author wants text retained as is.</w:t>
      </w:r>
    </w:p>
    <w:p w14:paraId="1A8B24D3" w14:textId="77777777" w:rsidR="002316EE" w:rsidRDefault="002316EE" w:rsidP="00E17AEB"/>
    <w:p w14:paraId="7D5B5870" w14:textId="0C3776A1" w:rsidR="002316EE" w:rsidRDefault="002316EE" w:rsidP="00E17AEB">
      <w:r>
        <w:t>Table 14, ‘</w:t>
      </w:r>
      <w:r w:rsidRPr="002316EE">
        <w:t>Post first non-fatal ischaemic stroke/TIA</w:t>
      </w:r>
      <w:r>
        <w:t xml:space="preserve">’ is correct (i.e. should not be two rows, one for </w:t>
      </w:r>
      <w:r w:rsidR="00E66CB3">
        <w:t>year 1 and one for year 2 and beyond).</w:t>
      </w:r>
    </w:p>
    <w:p w14:paraId="42F61FC8" w14:textId="77777777" w:rsidR="007C6A7D" w:rsidRDefault="007C6A7D" w:rsidP="00E17AEB"/>
    <w:p w14:paraId="3F5196E2" w14:textId="5FB16D20" w:rsidR="007C6A7D" w:rsidRDefault="00FC60BD" w:rsidP="00E17AEB">
      <w:r>
        <w:t xml:space="preserve">Chapter 5, </w:t>
      </w:r>
      <w:r w:rsidR="00170BA6" w:rsidRPr="00170BA6">
        <w:t>Cost and health benefits of diagnosis of people with familial hypercholesterolaemia in the long term</w:t>
      </w:r>
      <w:r w:rsidR="00170BA6">
        <w:t>,</w:t>
      </w:r>
      <w:r w:rsidR="00170BA6" w:rsidRPr="00170BA6">
        <w:t xml:space="preserve"> </w:t>
      </w:r>
      <w:r w:rsidR="00AA20BD">
        <w:t xml:space="preserve">Methods, </w:t>
      </w:r>
      <w:r w:rsidR="00EE0FDA">
        <w:t xml:space="preserve">Analytic methods, </w:t>
      </w:r>
      <w:r w:rsidR="007C6A7D">
        <w:t>‘</w:t>
      </w:r>
      <w:r w:rsidR="007C6A7D" w:rsidRPr="007C6A7D">
        <w:t>We calculated the net health gain from diagnosis as the health gains to people net of the health losses (or gains) elsewhere in the NHS due to the impact on costs.</w:t>
      </w:r>
      <w:r w:rsidR="007C6A7D">
        <w:t>’ Author does not want changes made to this.</w:t>
      </w:r>
    </w:p>
    <w:p w14:paraId="088B633E" w14:textId="77777777" w:rsidR="004A3372" w:rsidRDefault="004A3372" w:rsidP="00E17AEB"/>
    <w:p w14:paraId="30E6CB6E" w14:textId="6CD387D2" w:rsidR="004A3372" w:rsidRDefault="004A3372" w:rsidP="00E17AEB">
      <w:pPr>
        <w:rPr>
          <w:rFonts w:eastAsia="Calibri"/>
          <w:lang w:eastAsia="zh-CN"/>
        </w:rPr>
      </w:pPr>
      <w:r>
        <w:t>Table 16: ‘</w:t>
      </w:r>
      <w:r w:rsidR="002810FF" w:rsidRPr="002810FF">
        <w:t>≥ 1 mmol/l to ≥ 6 mmol/l</w:t>
      </w:r>
      <w:r w:rsidR="002810FF">
        <w:t>’ and ‘</w:t>
      </w:r>
      <w:r w:rsidR="002810FF" w:rsidRPr="00C751A4">
        <w:rPr>
          <w:rFonts w:eastAsia="Calibri"/>
          <w:lang w:eastAsia="zh-CN"/>
        </w:rPr>
        <w:t>≥ 1 mmol/l to ≥ </w:t>
      </w:r>
      <w:r w:rsidR="002810FF">
        <w:rPr>
          <w:rFonts w:eastAsia="Calibri"/>
          <w:lang w:eastAsia="zh-CN"/>
        </w:rPr>
        <w:t>5</w:t>
      </w:r>
      <w:r w:rsidR="002810FF" w:rsidRPr="00C751A4">
        <w:rPr>
          <w:rFonts w:eastAsia="Calibri"/>
          <w:lang w:eastAsia="zh-CN"/>
        </w:rPr>
        <w:t> mmol</w:t>
      </w:r>
      <w:r w:rsidR="002810FF">
        <w:rPr>
          <w:rFonts w:eastAsia="Calibri"/>
          <w:lang w:eastAsia="zh-CN"/>
        </w:rPr>
        <w:t>/l’ to be retained</w:t>
      </w:r>
      <w:r w:rsidR="006729DF">
        <w:rPr>
          <w:rFonts w:eastAsia="Calibri"/>
          <w:lang w:eastAsia="zh-CN"/>
        </w:rPr>
        <w:t xml:space="preserve"> as they are.</w:t>
      </w:r>
    </w:p>
    <w:p w14:paraId="635D8013" w14:textId="77777777" w:rsidR="00E26F06" w:rsidRDefault="00E26F06" w:rsidP="00E17AEB">
      <w:pPr>
        <w:rPr>
          <w:rFonts w:eastAsia="Calibri"/>
          <w:lang w:eastAsia="zh-CN"/>
        </w:rPr>
      </w:pPr>
    </w:p>
    <w:p w14:paraId="550C3CD3" w14:textId="1A3DA72C" w:rsidR="00E26F06" w:rsidRPr="00CE5D9C" w:rsidRDefault="00E26F06" w:rsidP="00E17AEB">
      <w:r>
        <w:rPr>
          <w:rFonts w:eastAsia="Calibri"/>
          <w:lang w:eastAsia="zh-CN"/>
        </w:rPr>
        <w:t xml:space="preserve">Chapter 7, Key findings, </w:t>
      </w:r>
      <w:r w:rsidR="008E2544" w:rsidRPr="008E2544">
        <w:rPr>
          <w:rFonts w:eastAsia="Calibri"/>
          <w:lang w:eastAsia="zh-CN"/>
        </w:rPr>
        <w:t>Acceptability of cascade-testing approaches</w:t>
      </w:r>
      <w:r w:rsidR="008E2544">
        <w:rPr>
          <w:rFonts w:eastAsia="Calibri"/>
          <w:lang w:eastAsia="zh-CN"/>
        </w:rPr>
        <w:t xml:space="preserve">: </w:t>
      </w:r>
      <w:r w:rsidR="00B5186B">
        <w:rPr>
          <w:rFonts w:eastAsia="Calibri"/>
          <w:lang w:eastAsia="zh-CN"/>
        </w:rPr>
        <w:t>t</w:t>
      </w:r>
      <w:r w:rsidR="00B5186B" w:rsidRPr="00B5186B">
        <w:rPr>
          <w:rFonts w:eastAsia="Calibri"/>
          <w:lang w:eastAsia="zh-CN"/>
        </w:rPr>
        <w:t>he three paragraphs in this section are duplicated from the last section of Chapter 6.</w:t>
      </w:r>
      <w:r w:rsidR="00B5186B">
        <w:rPr>
          <w:rFonts w:eastAsia="Calibri"/>
          <w:lang w:eastAsia="zh-CN"/>
        </w:rPr>
        <w:t xml:space="preserve"> The author wants to retain the text in both places.</w:t>
      </w:r>
    </w:p>
    <w:p w14:paraId="40C3A3EA" w14:textId="5D9B522A" w:rsidR="00ED2BFD" w:rsidRDefault="00ED2BFD" w:rsidP="00ED2BFD">
      <w:pPr>
        <w:pStyle w:val="Heading2"/>
      </w:pPr>
      <w:r>
        <w:t>Abbreviations</w:t>
      </w:r>
    </w:p>
    <w:p w14:paraId="3D34304D" w14:textId="2A7B1DBE" w:rsidR="00444B25" w:rsidRDefault="00444B25" w:rsidP="00882FA0">
      <w:r>
        <w:t>‘(DNA)’ retained in Declared competing interests section as more commonly known.</w:t>
      </w:r>
    </w:p>
    <w:p w14:paraId="5030BF50" w14:textId="77777777" w:rsidR="001223BF" w:rsidRDefault="001223BF" w:rsidP="00882FA0"/>
    <w:p w14:paraId="2AAC06B3" w14:textId="2A7585AD" w:rsidR="00882FA0" w:rsidRDefault="00882FA0" w:rsidP="00882FA0">
      <w:r>
        <w:t>CI, CPRD and HES retained in abstract for ease of reading.</w:t>
      </w:r>
    </w:p>
    <w:p w14:paraId="79960FAB" w14:textId="0CE3FA73" w:rsidR="000A04EE" w:rsidRDefault="000A04EE" w:rsidP="00882FA0"/>
    <w:p w14:paraId="210BD3D6" w14:textId="0939A1B0" w:rsidR="000A04EE" w:rsidRDefault="000A04EE" w:rsidP="00882FA0">
      <w:r>
        <w:t>‘NICOR MINAP’ abbreviations retained</w:t>
      </w:r>
      <w:r w:rsidR="007E6A41">
        <w:t xml:space="preserve"> although used only once</w:t>
      </w:r>
      <w:r>
        <w:t xml:space="preserve"> as more commonly known</w:t>
      </w:r>
      <w:r w:rsidR="00A43FA8">
        <w:t>, and for ease of reading.</w:t>
      </w:r>
    </w:p>
    <w:p w14:paraId="778DF968" w14:textId="77777777" w:rsidR="00797E4A" w:rsidRDefault="00797E4A" w:rsidP="00882FA0"/>
    <w:p w14:paraId="287BFD3F" w14:textId="1EFE681B" w:rsidR="00797E4A" w:rsidRPr="00882FA0" w:rsidRDefault="00797E4A" w:rsidP="00882FA0">
      <w:r>
        <w:t>‘(OECD)’ and ‘(eDRIS)’ retained as more commonly known.</w:t>
      </w:r>
    </w:p>
    <w:p w14:paraId="49E993BB" w14:textId="55A38942" w:rsidR="004D2C97" w:rsidRDefault="004D2C97" w:rsidP="00573F6B">
      <w:pPr>
        <w:pStyle w:val="Heading2"/>
      </w:pPr>
      <w:r>
        <w:t>Capital</w:t>
      </w:r>
      <w:r w:rsidR="00927E4F">
        <w:t>isation</w:t>
      </w:r>
    </w:p>
    <w:p w14:paraId="40AB1352" w14:textId="147372AF" w:rsidR="00B10766" w:rsidRPr="00B10766" w:rsidRDefault="00B10766" w:rsidP="00B10766">
      <w:r>
        <w:t>Simon Broome Register</w:t>
      </w:r>
    </w:p>
    <w:p w14:paraId="1418CAE8" w14:textId="5FD3D0E7" w:rsidR="00573F6B" w:rsidRDefault="00573F6B" w:rsidP="00573F6B">
      <w:pPr>
        <w:pStyle w:val="Heading2"/>
      </w:pPr>
      <w:r>
        <w:t>Hyphenation</w:t>
      </w:r>
    </w:p>
    <w:p w14:paraId="5C0225BA" w14:textId="4CDBE429" w:rsidR="00A04192" w:rsidRPr="00A04192" w:rsidRDefault="00A04192" w:rsidP="00A04192">
      <w:r w:rsidRPr="00B85D62">
        <w:t>cascade</w:t>
      </w:r>
      <w:r>
        <w:t>-</w:t>
      </w:r>
      <w:r w:rsidRPr="00B85D62">
        <w:t xml:space="preserve">testing </w:t>
      </w:r>
      <w:r w:rsidR="002A1EF6">
        <w:t>(adj.)</w:t>
      </w:r>
    </w:p>
    <w:p w14:paraId="63509B34" w14:textId="250F2F38" w:rsidR="0045659B" w:rsidRDefault="0045659B" w:rsidP="0045659B">
      <w:pPr>
        <w:pStyle w:val="Heading2"/>
      </w:pPr>
      <w:r>
        <w:t>Figures</w:t>
      </w:r>
    </w:p>
    <w:p w14:paraId="691D3BDE" w14:textId="72438046" w:rsidR="005B5D08" w:rsidRDefault="005B5D08" w:rsidP="005B5D08">
      <w:r>
        <w:t>Figure 19 was split into three parts during redrawing. I have marked up the original again</w:t>
      </w:r>
      <w:r w:rsidR="00EF2EED">
        <w:t>, as there is no need for it to be split into three parts.</w:t>
      </w:r>
    </w:p>
    <w:p w14:paraId="6A49762A" w14:textId="77777777" w:rsidR="00DC0D5E" w:rsidRDefault="00DC0D5E" w:rsidP="005B5D08"/>
    <w:p w14:paraId="0622DBA8" w14:textId="5A3D930D" w:rsidR="00DC0D5E" w:rsidRPr="005B5D08" w:rsidRDefault="00DC0D5E" w:rsidP="005B5D08">
      <w:r>
        <w:t xml:space="preserve">There are </w:t>
      </w:r>
      <w:r w:rsidR="0014673F">
        <w:t>figure</w:t>
      </w:r>
      <w:r>
        <w:t xml:space="preserve"> corrections.</w:t>
      </w:r>
    </w:p>
    <w:p w14:paraId="529332B0" w14:textId="740C5E61" w:rsidR="0045659B" w:rsidRDefault="0045659B" w:rsidP="0045659B">
      <w:pPr>
        <w:pStyle w:val="Heading2"/>
      </w:pPr>
      <w:r>
        <w:t>Tables</w:t>
      </w:r>
    </w:p>
    <w:p w14:paraId="466080D3" w14:textId="18FF341E" w:rsidR="007D2382" w:rsidRDefault="007D2382" w:rsidP="007D2382">
      <w:r>
        <w:t>Table 14: ‘webfigure 4A’ is correct (</w:t>
      </w:r>
      <w:hyperlink r:id="rId8" w:history="1">
        <w:r w:rsidRPr="00B56D53">
          <w:rPr>
            <w:rStyle w:val="Hyperlink"/>
          </w:rPr>
          <w:t>https://www.thelancet.com/cms/10.1016/S0140-6736(18)31942-1/attachment/da6878a9-732e-4952-99f7-a716706964ae/mmc1.pdf</w:t>
        </w:r>
      </w:hyperlink>
      <w:r>
        <w:t>).</w:t>
      </w:r>
    </w:p>
    <w:p w14:paraId="4681EBD6" w14:textId="77777777" w:rsidR="000319E1" w:rsidRDefault="000319E1" w:rsidP="007D2382"/>
    <w:p w14:paraId="3F7297D6" w14:textId="5BA6E784" w:rsidR="000319E1" w:rsidRDefault="000319E1" w:rsidP="007D2382">
      <w:r>
        <w:t xml:space="preserve">Table </w:t>
      </w:r>
      <w:r w:rsidR="00517707">
        <w:t>15 contains shading.</w:t>
      </w:r>
    </w:p>
    <w:p w14:paraId="560093BA" w14:textId="77777777" w:rsidR="00517707" w:rsidRDefault="00517707" w:rsidP="007D2382"/>
    <w:p w14:paraId="25D95C7D" w14:textId="373C81F7" w:rsidR="00517707" w:rsidRPr="007D2382" w:rsidRDefault="00517707" w:rsidP="007D2382">
      <w:r>
        <w:t>Proofreader: the footnote in Table 15 that describes the shading colours</w:t>
      </w:r>
      <w:r w:rsidR="00527B55">
        <w:t>, and the paragraph in which Table 15 is cited,</w:t>
      </w:r>
      <w:r>
        <w:t xml:space="preserve"> will need to be amended at 1P</w:t>
      </w:r>
      <w:r w:rsidR="00D32C02">
        <w:t>, after journal-style shading is applied.</w:t>
      </w:r>
    </w:p>
    <w:p w14:paraId="6994A83D" w14:textId="0FDE9415" w:rsidR="00927E4F" w:rsidRDefault="00927E4F" w:rsidP="00927E4F">
      <w:pPr>
        <w:pStyle w:val="Heading2"/>
      </w:pPr>
      <w:r w:rsidRPr="00927E4F">
        <w:t>Boxes</w:t>
      </w:r>
    </w:p>
    <w:p w14:paraId="0DA85B71" w14:textId="5C9E0675" w:rsidR="00942E70" w:rsidRDefault="00942E70" w:rsidP="00942E70">
      <w:r>
        <w:t xml:space="preserve">Original Table </w:t>
      </w:r>
      <w:r w:rsidR="00BA527D">
        <w:t>21 changed to Box 1.</w:t>
      </w:r>
    </w:p>
    <w:p w14:paraId="3E4DB368" w14:textId="1F21F02C" w:rsidR="00E359BE" w:rsidRPr="00942E70" w:rsidRDefault="00E359BE" w:rsidP="00942E70">
      <w:r>
        <w:t>There is a table renumbering spreadsheet.</w:t>
      </w:r>
    </w:p>
    <w:p w14:paraId="7B7AFC93" w14:textId="7A47B3FC" w:rsidR="002F5581" w:rsidRDefault="0044577D" w:rsidP="0044577D">
      <w:pPr>
        <w:pStyle w:val="Heading2"/>
      </w:pPr>
      <w:r>
        <w:t>References</w:t>
      </w:r>
    </w:p>
    <w:p w14:paraId="2465492A" w14:textId="165504B9" w:rsidR="00C976A6" w:rsidRDefault="00C976A6" w:rsidP="00C976A6">
      <w:r>
        <w:t>Ref 5 has no authors. This is correct</w:t>
      </w:r>
      <w:r w:rsidR="007B3560">
        <w:t xml:space="preserve"> (</w:t>
      </w:r>
      <w:hyperlink r:id="rId9" w:history="1">
        <w:r w:rsidR="007B3560" w:rsidRPr="008F0CF8">
          <w:rPr>
            <w:rStyle w:val="Hyperlink"/>
          </w:rPr>
          <w:t>https://doi.org/10.1136/bmj.303.6807.893</w:t>
        </w:r>
      </w:hyperlink>
      <w:r w:rsidR="007B3560">
        <w:t>)</w:t>
      </w:r>
      <w:r w:rsidR="0040787D">
        <w:t>.</w:t>
      </w:r>
    </w:p>
    <w:p w14:paraId="29A2B235" w14:textId="77777777" w:rsidR="00AC4451" w:rsidRDefault="00AC4451" w:rsidP="00C976A6"/>
    <w:p w14:paraId="20CBAF37" w14:textId="45BEE62D" w:rsidR="00AC4451" w:rsidRPr="00C976A6" w:rsidRDefault="00AC4451" w:rsidP="00C976A6">
      <w:r>
        <w:t>There is a reference renumbering spreadsheet.</w:t>
      </w:r>
    </w:p>
    <w:p w14:paraId="0E58B0F5" w14:textId="62AAC4ED" w:rsidR="002F5581" w:rsidRDefault="00217075" w:rsidP="00217075">
      <w:pPr>
        <w:pStyle w:val="Heading2"/>
      </w:pPr>
      <w:r>
        <w:lastRenderedPageBreak/>
        <w:t>Miscellaneous</w:t>
      </w:r>
    </w:p>
    <w:p w14:paraId="3E77C4D2" w14:textId="0A10D972" w:rsidR="00D87217" w:rsidRDefault="00D87217" w:rsidP="00D87217">
      <w:r>
        <w:t>There are three copyright credit lines.</w:t>
      </w:r>
    </w:p>
    <w:p w14:paraId="0D4FF961" w14:textId="77777777" w:rsidR="00DC0B75" w:rsidRDefault="00DC0B75" w:rsidP="00D87217"/>
    <w:p w14:paraId="46355866" w14:textId="59F57D9E" w:rsidR="00DC0B75" w:rsidRPr="00D87217" w:rsidRDefault="00DC0B75" w:rsidP="00D87217">
      <w:r>
        <w:t>Report contains equations.</w:t>
      </w:r>
    </w:p>
    <w:sectPr w:rsidR="00DC0B75" w:rsidRPr="00D87217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27F45"/>
    <w:multiLevelType w:val="hybridMultilevel"/>
    <w:tmpl w:val="A03A49D4"/>
    <w:lvl w:ilvl="0" w:tplc="A1B411B2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969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F6B"/>
    <w:rsid w:val="000319E1"/>
    <w:rsid w:val="00056929"/>
    <w:rsid w:val="00071F3A"/>
    <w:rsid w:val="00075A12"/>
    <w:rsid w:val="00090EF7"/>
    <w:rsid w:val="000A04EE"/>
    <w:rsid w:val="000C2892"/>
    <w:rsid w:val="00106449"/>
    <w:rsid w:val="001132F7"/>
    <w:rsid w:val="001223BF"/>
    <w:rsid w:val="0014213A"/>
    <w:rsid w:val="0014673F"/>
    <w:rsid w:val="00170BA6"/>
    <w:rsid w:val="00192FDF"/>
    <w:rsid w:val="001C7598"/>
    <w:rsid w:val="00213D6F"/>
    <w:rsid w:val="00217075"/>
    <w:rsid w:val="002316EE"/>
    <w:rsid w:val="002435B5"/>
    <w:rsid w:val="002810FF"/>
    <w:rsid w:val="002A1EF6"/>
    <w:rsid w:val="002A61B9"/>
    <w:rsid w:val="002E31F7"/>
    <w:rsid w:val="002F310A"/>
    <w:rsid w:val="002F5581"/>
    <w:rsid w:val="00345BFB"/>
    <w:rsid w:val="00346712"/>
    <w:rsid w:val="003B0FC2"/>
    <w:rsid w:val="003B4076"/>
    <w:rsid w:val="003C3414"/>
    <w:rsid w:val="003D3939"/>
    <w:rsid w:val="00404B65"/>
    <w:rsid w:val="0040787D"/>
    <w:rsid w:val="00444B25"/>
    <w:rsid w:val="0044577D"/>
    <w:rsid w:val="00453626"/>
    <w:rsid w:val="0045659B"/>
    <w:rsid w:val="00473A3F"/>
    <w:rsid w:val="004A3372"/>
    <w:rsid w:val="004D2C97"/>
    <w:rsid w:val="00510C20"/>
    <w:rsid w:val="00517707"/>
    <w:rsid w:val="0052354B"/>
    <w:rsid w:val="0052371E"/>
    <w:rsid w:val="00527B55"/>
    <w:rsid w:val="00557E8A"/>
    <w:rsid w:val="00573F6B"/>
    <w:rsid w:val="00587CAB"/>
    <w:rsid w:val="00592EB0"/>
    <w:rsid w:val="005941CC"/>
    <w:rsid w:val="005B5D08"/>
    <w:rsid w:val="005C51E5"/>
    <w:rsid w:val="005F1552"/>
    <w:rsid w:val="0065032E"/>
    <w:rsid w:val="006729DF"/>
    <w:rsid w:val="006A20A5"/>
    <w:rsid w:val="00731417"/>
    <w:rsid w:val="00771991"/>
    <w:rsid w:val="00797C7A"/>
    <w:rsid w:val="00797E4A"/>
    <w:rsid w:val="007A3C51"/>
    <w:rsid w:val="007B3560"/>
    <w:rsid w:val="007C6A7D"/>
    <w:rsid w:val="007D2382"/>
    <w:rsid w:val="007E6A41"/>
    <w:rsid w:val="00831BE3"/>
    <w:rsid w:val="008630E9"/>
    <w:rsid w:val="00882FA0"/>
    <w:rsid w:val="00885E31"/>
    <w:rsid w:val="008A1D75"/>
    <w:rsid w:val="008B5F92"/>
    <w:rsid w:val="008C4D1E"/>
    <w:rsid w:val="008E0ABC"/>
    <w:rsid w:val="008E2544"/>
    <w:rsid w:val="00927E4F"/>
    <w:rsid w:val="00942E70"/>
    <w:rsid w:val="0094551D"/>
    <w:rsid w:val="009848CD"/>
    <w:rsid w:val="00A04192"/>
    <w:rsid w:val="00A15A42"/>
    <w:rsid w:val="00A24F42"/>
    <w:rsid w:val="00A43FA8"/>
    <w:rsid w:val="00A44499"/>
    <w:rsid w:val="00A54408"/>
    <w:rsid w:val="00A91104"/>
    <w:rsid w:val="00AA20BD"/>
    <w:rsid w:val="00AC4451"/>
    <w:rsid w:val="00AC55F4"/>
    <w:rsid w:val="00AD1138"/>
    <w:rsid w:val="00AF1913"/>
    <w:rsid w:val="00B0129E"/>
    <w:rsid w:val="00B106A9"/>
    <w:rsid w:val="00B10766"/>
    <w:rsid w:val="00B42354"/>
    <w:rsid w:val="00B5186B"/>
    <w:rsid w:val="00B7347D"/>
    <w:rsid w:val="00BA527D"/>
    <w:rsid w:val="00BA6068"/>
    <w:rsid w:val="00BB15E2"/>
    <w:rsid w:val="00BE2CAD"/>
    <w:rsid w:val="00C250A9"/>
    <w:rsid w:val="00C8249E"/>
    <w:rsid w:val="00C84B7A"/>
    <w:rsid w:val="00C976A6"/>
    <w:rsid w:val="00CB7116"/>
    <w:rsid w:val="00CE5D9C"/>
    <w:rsid w:val="00CE6FE8"/>
    <w:rsid w:val="00CF6F48"/>
    <w:rsid w:val="00D0417F"/>
    <w:rsid w:val="00D32C02"/>
    <w:rsid w:val="00D6385C"/>
    <w:rsid w:val="00D8332A"/>
    <w:rsid w:val="00D87217"/>
    <w:rsid w:val="00D907F1"/>
    <w:rsid w:val="00D9480E"/>
    <w:rsid w:val="00D95D23"/>
    <w:rsid w:val="00DC0B75"/>
    <w:rsid w:val="00DC0D5E"/>
    <w:rsid w:val="00DC3CC5"/>
    <w:rsid w:val="00DF039A"/>
    <w:rsid w:val="00E17AEB"/>
    <w:rsid w:val="00E212D2"/>
    <w:rsid w:val="00E23FE4"/>
    <w:rsid w:val="00E26F06"/>
    <w:rsid w:val="00E359BE"/>
    <w:rsid w:val="00E66CB3"/>
    <w:rsid w:val="00E676A3"/>
    <w:rsid w:val="00E718B0"/>
    <w:rsid w:val="00EA1366"/>
    <w:rsid w:val="00ED2BFD"/>
    <w:rsid w:val="00EE0FDA"/>
    <w:rsid w:val="00EF2EED"/>
    <w:rsid w:val="00EF374D"/>
    <w:rsid w:val="00F11DA0"/>
    <w:rsid w:val="00F510CB"/>
    <w:rsid w:val="00F65BA2"/>
    <w:rsid w:val="00F66109"/>
    <w:rsid w:val="00F67499"/>
    <w:rsid w:val="00F72662"/>
    <w:rsid w:val="00F93F8D"/>
    <w:rsid w:val="00FC60BD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2D281B81-A5B6-43FB-8634-548A3CCD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C250A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831B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1BE3"/>
    <w:rPr>
      <w:rFonts w:eastAsia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1BE3"/>
    <w:rPr>
      <w:rFonts w:eastAsia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356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B35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lancet.com/cms/10.1016/S0140-6736(18)31942-1/attachment/da6878a9-732e-4952-99f7-a716706964ae/mmc1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i.org/10.1136/bmj.303.6807.8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d7720d-78c0-4ba6-b15f-15e1a8d9945b">
      <Terms xmlns="http://schemas.microsoft.com/office/infopath/2007/PartnerControls"/>
    </lcf76f155ced4ddcb4097134ff3c332f>
    <TaxCatchAll xmlns="6882c133-d57b-4005-a8df-22dede5294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37E4DA-25D7-4EEC-B584-8FAE1620D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D5D77-321C-4622-A2E3-8A13393D2C4C}">
  <ds:schemaRefs>
    <ds:schemaRef ds:uri="http://schemas.microsoft.com/office/2006/metadata/properties"/>
    <ds:schemaRef ds:uri="http://schemas.microsoft.com/office/infopath/2007/PartnerControls"/>
    <ds:schemaRef ds:uri="02d7720d-78c0-4ba6-b15f-15e1a8d9945b"/>
    <ds:schemaRef ds:uri="6882c133-d57b-4005-a8df-22dede5294ac"/>
  </ds:schemaRefs>
</ds:datastoreItem>
</file>

<file path=customXml/itemProps3.xml><?xml version="1.0" encoding="utf-8"?>
<ds:datastoreItem xmlns:ds="http://schemas.openxmlformats.org/officeDocument/2006/customXml" ds:itemID="{6A9EFE08-0FA1-4802-9461-A0D715F54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Prepress Projects Ltd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Ross Stewart</cp:lastModifiedBy>
  <cp:revision>89</cp:revision>
  <dcterms:created xsi:type="dcterms:W3CDTF">2016-11-02T16:18:00Z</dcterms:created>
  <dcterms:modified xsi:type="dcterms:W3CDTF">2022-12-23T12:36:00Z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  <property fmtid="{D5CDD505-2E9C-101B-9397-08002B2CF9AE}" pid="3" name="MediaServiceImageTags">
    <vt:lpwstr/>
  </property>
</Properties>
</file>